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FED3" w14:textId="77777777" w:rsidR="009E2F29" w:rsidRPr="00B42B12" w:rsidRDefault="009E2F29">
      <w:pPr>
        <w:pStyle w:val="2"/>
      </w:pPr>
    </w:p>
    <w:p w14:paraId="2C3391D6" w14:textId="77777777" w:rsidR="009E2F29" w:rsidRPr="00B42B12" w:rsidRDefault="009E2F29">
      <w:pPr>
        <w:pStyle w:val="ac"/>
      </w:pPr>
      <w:r w:rsidRPr="00B42B12">
        <w:rPr>
          <w:rFonts w:hint="eastAsia"/>
        </w:rPr>
        <w:t>臨時設施</w:t>
      </w:r>
    </w:p>
    <w:p w14:paraId="516E8686" w14:textId="77777777" w:rsidR="009E2F29" w:rsidRPr="00B42B12" w:rsidRDefault="009E2F29">
      <w:pPr>
        <w:pStyle w:val="ac"/>
      </w:pPr>
    </w:p>
    <w:p w14:paraId="182B9CF9" w14:textId="77777777" w:rsidR="009E2F29" w:rsidRPr="00B42B12" w:rsidRDefault="009E2F29">
      <w:pPr>
        <w:pStyle w:val="3"/>
      </w:pPr>
      <w:r w:rsidRPr="00B42B12">
        <w:rPr>
          <w:rFonts w:hint="eastAsia"/>
        </w:rPr>
        <w:t>通則</w:t>
      </w:r>
    </w:p>
    <w:p w14:paraId="5C31AB36" w14:textId="77777777" w:rsidR="009E2F29" w:rsidRPr="00B42B12" w:rsidRDefault="009E2F29">
      <w:pPr>
        <w:pStyle w:val="4"/>
      </w:pPr>
      <w:r w:rsidRPr="00B42B12">
        <w:rPr>
          <w:rFonts w:hint="eastAsia"/>
        </w:rPr>
        <w:t>本章概要</w:t>
      </w:r>
    </w:p>
    <w:p w14:paraId="78821DA4" w14:textId="77777777" w:rsidR="009E2F29" w:rsidRPr="00B42B12" w:rsidRDefault="009E2F29">
      <w:pPr>
        <w:pStyle w:val="a6"/>
      </w:pPr>
      <w:r w:rsidRPr="00B42B12">
        <w:rPr>
          <w:rFonts w:hint="eastAsia"/>
        </w:rPr>
        <w:t>本章說明工程施工或安裝所需之臨時設施包括工程用水、工程用電、照明、通訊設備及消防等之相關規定，所供應對象依契約規定構成永久性工程之水電、照明、通訊或消防等不在本章範圍內。</w:t>
      </w:r>
    </w:p>
    <w:p w14:paraId="32B8136A" w14:textId="77777777" w:rsidR="009E2F29" w:rsidRPr="00B42B12" w:rsidRDefault="009E2F29"/>
    <w:p w14:paraId="5ACDA6A4" w14:textId="77777777" w:rsidR="009E2F29" w:rsidRPr="00B42B12" w:rsidRDefault="009E2F29">
      <w:pPr>
        <w:pStyle w:val="4"/>
      </w:pPr>
      <w:r w:rsidRPr="00B42B12">
        <w:rPr>
          <w:rFonts w:hint="eastAsia"/>
        </w:rPr>
        <w:t>工作範圍</w:t>
      </w:r>
    </w:p>
    <w:p w14:paraId="1E7ED951" w14:textId="77777777" w:rsidR="009E2F29" w:rsidRPr="00B42B12" w:rsidRDefault="009E2F29">
      <w:pPr>
        <w:pStyle w:val="5"/>
      </w:pPr>
      <w:r w:rsidRPr="00B42B12">
        <w:rPr>
          <w:rFonts w:hint="eastAsia"/>
        </w:rPr>
        <w:t>工程用水</w:t>
      </w:r>
    </w:p>
    <w:p w14:paraId="0363B5F2" w14:textId="77777777" w:rsidR="009E2F29" w:rsidRPr="00B42B12" w:rsidRDefault="009E2F29">
      <w:pPr>
        <w:pStyle w:val="a6"/>
      </w:pPr>
      <w:r w:rsidRPr="00B42B12">
        <w:rPr>
          <w:rFonts w:hint="eastAsia"/>
        </w:rPr>
        <w:t>除契約另有規定外，工程用水包括工地房舍、業主與乙方雙方人員之飲用、盥洗設備、工程用水與道路灑水等。</w:t>
      </w:r>
    </w:p>
    <w:p w14:paraId="2347BD43" w14:textId="77777777" w:rsidR="009E2F29" w:rsidRPr="00B42B12" w:rsidRDefault="009E2F29">
      <w:pPr>
        <w:pStyle w:val="5"/>
      </w:pPr>
      <w:r w:rsidRPr="00B42B12">
        <w:rPr>
          <w:rFonts w:hint="eastAsia"/>
        </w:rPr>
        <w:t>工程用電</w:t>
      </w:r>
    </w:p>
    <w:p w14:paraId="12347D99" w14:textId="77777777" w:rsidR="009E2F29" w:rsidRPr="00B42B12" w:rsidRDefault="009E2F29">
      <w:pPr>
        <w:pStyle w:val="a6"/>
      </w:pPr>
      <w:r w:rsidRPr="00B42B12">
        <w:rPr>
          <w:rFonts w:hint="eastAsia"/>
        </w:rPr>
        <w:t>除契約另有規定外，工程用電包括業主與乙方雙方工地房舍之設備及照明、工程施工之動力設備及照明、工程工區道路照明及其他設施等之用電。</w:t>
      </w:r>
    </w:p>
    <w:p w14:paraId="02C30A49" w14:textId="77777777" w:rsidR="009E2F29" w:rsidRPr="00B42B12" w:rsidRDefault="009E2F29">
      <w:pPr>
        <w:pStyle w:val="5"/>
      </w:pPr>
      <w:r w:rsidRPr="00B42B12">
        <w:rPr>
          <w:rFonts w:hint="eastAsia"/>
        </w:rPr>
        <w:t>照明</w:t>
      </w:r>
    </w:p>
    <w:p w14:paraId="0F6E52BD" w14:textId="77777777" w:rsidR="009E2F29" w:rsidRPr="00B42B12" w:rsidRDefault="009E2F29">
      <w:pPr>
        <w:pStyle w:val="a6"/>
      </w:pPr>
      <w:r w:rsidRPr="00B42B12">
        <w:rPr>
          <w:rFonts w:hint="eastAsia"/>
        </w:rPr>
        <w:t>除契約另有規定外，照明包括業主與乙方雙方工地房舍之照明、工程施工之照明、工區道路照明及其他臨時照明等。</w:t>
      </w:r>
    </w:p>
    <w:p w14:paraId="1668C354" w14:textId="77777777" w:rsidR="009E2F29" w:rsidRPr="00B42B12" w:rsidRDefault="009E2F29">
      <w:pPr>
        <w:pStyle w:val="5"/>
      </w:pPr>
      <w:r w:rsidRPr="00B42B12">
        <w:rPr>
          <w:rFonts w:hint="eastAsia"/>
        </w:rPr>
        <w:t>通訊設備</w:t>
      </w:r>
    </w:p>
    <w:p w14:paraId="4C1A2D81" w14:textId="77777777" w:rsidR="009E2F29" w:rsidRPr="00B42B12" w:rsidRDefault="009E2F29">
      <w:pPr>
        <w:pStyle w:val="a6"/>
      </w:pPr>
      <w:r w:rsidRPr="00B42B12">
        <w:rPr>
          <w:rFonts w:hint="eastAsia"/>
        </w:rPr>
        <w:t>除契約另有規定外，通訊設備包括業主與乙方雙方工務所、工地間之聯絡電話、無線對講機、傳真機或數據網路等。</w:t>
      </w:r>
    </w:p>
    <w:p w14:paraId="23508C5A" w14:textId="77777777" w:rsidR="009E2F29" w:rsidRPr="00B42B12" w:rsidRDefault="009E2F29">
      <w:pPr>
        <w:pStyle w:val="5"/>
      </w:pPr>
      <w:r w:rsidRPr="00B42B12">
        <w:rPr>
          <w:rFonts w:hint="eastAsia"/>
        </w:rPr>
        <w:t>消防</w:t>
      </w:r>
    </w:p>
    <w:p w14:paraId="64250E0B" w14:textId="77777777" w:rsidR="009E2F29" w:rsidRPr="00B42B12" w:rsidRDefault="009E2F29">
      <w:pPr>
        <w:pStyle w:val="a6"/>
      </w:pPr>
      <w:r w:rsidRPr="00B42B12">
        <w:rPr>
          <w:rFonts w:hint="eastAsia"/>
        </w:rPr>
        <w:t>除契約另有規定外，消防包括業主與乙方雙方工地房舍及工程施工構造物、設備等之消防設施等。</w:t>
      </w:r>
    </w:p>
    <w:p w14:paraId="7C98A26B" w14:textId="77777777" w:rsidR="009E2F29" w:rsidRPr="00B42B12" w:rsidRDefault="009E2F29"/>
    <w:p w14:paraId="069BEEB1" w14:textId="77777777" w:rsidR="009E2F29" w:rsidRPr="00B42B12" w:rsidRDefault="009E2F29">
      <w:pPr>
        <w:pStyle w:val="4"/>
      </w:pPr>
      <w:r w:rsidRPr="00B42B12">
        <w:rPr>
          <w:rFonts w:hint="eastAsia"/>
        </w:rPr>
        <w:t>相關準則</w:t>
      </w:r>
    </w:p>
    <w:p w14:paraId="2720ADAE" w14:textId="77777777" w:rsidR="009E2F29" w:rsidRPr="00B42B12" w:rsidRDefault="009E2F29">
      <w:pPr>
        <w:pStyle w:val="a6"/>
      </w:pPr>
      <w:r w:rsidRPr="00B42B12">
        <w:rPr>
          <w:rFonts w:hint="eastAsia"/>
        </w:rPr>
        <w:t>有關工程用水、用電、照明、通訊、消防等之相關規定應參照自來水、電力、照明、通訊、及消防等相關法規及規範辦理。</w:t>
      </w:r>
    </w:p>
    <w:p w14:paraId="2BB3BA96" w14:textId="77777777" w:rsidR="009E2F29" w:rsidRPr="00B42B12" w:rsidRDefault="009E2F29">
      <w:pPr>
        <w:pStyle w:val="3"/>
      </w:pPr>
      <w:r w:rsidRPr="00B42B12">
        <w:rPr>
          <w:rFonts w:hint="eastAsia"/>
        </w:rPr>
        <w:t>產品</w:t>
      </w:r>
    </w:p>
    <w:p w14:paraId="2909E62F" w14:textId="77777777" w:rsidR="009E2F29" w:rsidRPr="00B42B12" w:rsidRDefault="009E2F29">
      <w:pPr>
        <w:pStyle w:val="a6"/>
      </w:pPr>
      <w:r w:rsidRPr="00B42B12">
        <w:rPr>
          <w:rFonts w:hint="eastAsia"/>
        </w:rPr>
        <w:t>（空白）</w:t>
      </w:r>
    </w:p>
    <w:p w14:paraId="7BD05CCE" w14:textId="77777777" w:rsidR="009E2F29" w:rsidRPr="00B42B12" w:rsidRDefault="009E2F29">
      <w:pPr>
        <w:pStyle w:val="3"/>
      </w:pPr>
      <w:r w:rsidRPr="00B42B12">
        <w:rPr>
          <w:rFonts w:hint="eastAsia"/>
        </w:rPr>
        <w:t>施工</w:t>
      </w:r>
    </w:p>
    <w:p w14:paraId="038552D6" w14:textId="77777777" w:rsidR="009E2F29" w:rsidRPr="00B42B12" w:rsidRDefault="009E2F29">
      <w:pPr>
        <w:pStyle w:val="4"/>
      </w:pPr>
      <w:r w:rsidRPr="00B42B12">
        <w:rPr>
          <w:rFonts w:hint="eastAsia"/>
        </w:rPr>
        <w:t>工程用水</w:t>
      </w:r>
    </w:p>
    <w:p w14:paraId="2CC782EE" w14:textId="77777777" w:rsidR="009E2F29" w:rsidRPr="00B42B12" w:rsidRDefault="009E2F29">
      <w:pPr>
        <w:pStyle w:val="5"/>
      </w:pPr>
      <w:r w:rsidRPr="00B42B12">
        <w:rPr>
          <w:rFonts w:hint="eastAsia"/>
        </w:rPr>
        <w:t>工程使用之水源非為自來水時，應先檢驗水質，並經工程司同意後始得使用。</w:t>
      </w:r>
    </w:p>
    <w:p w14:paraId="7CF6BE39" w14:textId="77777777" w:rsidR="009E2F29" w:rsidRPr="00B42B12" w:rsidRDefault="009E2F29">
      <w:pPr>
        <w:pStyle w:val="5"/>
      </w:pPr>
      <w:r w:rsidRPr="00B42B12">
        <w:rPr>
          <w:rFonts w:hint="eastAsia"/>
        </w:rPr>
        <w:lastRenderedPageBreak/>
        <w:t>工程用水之使用，如有影響工地附近一般用水之水源（如地下水之抽</w:t>
      </w:r>
      <w:proofErr w:type="gramStart"/>
      <w:r w:rsidRPr="00B42B12">
        <w:rPr>
          <w:rFonts w:hint="eastAsia"/>
        </w:rPr>
        <w:t>汲</w:t>
      </w:r>
      <w:proofErr w:type="gramEnd"/>
      <w:r w:rsidRPr="00B42B12">
        <w:rPr>
          <w:rFonts w:hint="eastAsia"/>
        </w:rPr>
        <w:t>等）之虞時，應事先調查規劃報請工程司認可後，始得使用。</w:t>
      </w:r>
    </w:p>
    <w:p w14:paraId="20EC81C7" w14:textId="77777777" w:rsidR="009E2F29" w:rsidRPr="00B42B12" w:rsidRDefault="009E2F29">
      <w:pPr>
        <w:pStyle w:val="5"/>
      </w:pPr>
      <w:r w:rsidRPr="00B42B12">
        <w:rPr>
          <w:rFonts w:hint="eastAsia"/>
        </w:rPr>
        <w:t>用水管線依據實際使用狀況及參照相關法規及規範施設。</w:t>
      </w:r>
    </w:p>
    <w:p w14:paraId="2C3B6684" w14:textId="77777777" w:rsidR="009E2F29" w:rsidRPr="00B42B12" w:rsidRDefault="009E2F29"/>
    <w:p w14:paraId="7DD8AAC5" w14:textId="77777777" w:rsidR="009E2F29" w:rsidRPr="00B42B12" w:rsidRDefault="009E2F29">
      <w:pPr>
        <w:pStyle w:val="4"/>
      </w:pPr>
      <w:r w:rsidRPr="00B42B12">
        <w:rPr>
          <w:rFonts w:hint="eastAsia"/>
        </w:rPr>
        <w:t>工程用電</w:t>
      </w:r>
    </w:p>
    <w:p w14:paraId="7C1C3914" w14:textId="77777777" w:rsidR="009E2F29" w:rsidRPr="00B42B12" w:rsidRDefault="009E2F29">
      <w:pPr>
        <w:pStyle w:val="5"/>
      </w:pPr>
      <w:r w:rsidRPr="00B42B12">
        <w:rPr>
          <w:rFonts w:hint="eastAsia"/>
        </w:rPr>
        <w:t>施設電氣管線及設備安裝，應參照用電相關法規及規範施工。</w:t>
      </w:r>
    </w:p>
    <w:p w14:paraId="61C6BBA9" w14:textId="77777777" w:rsidR="009E2F29" w:rsidRPr="00B42B12" w:rsidRDefault="009E2F29">
      <w:pPr>
        <w:pStyle w:val="5"/>
      </w:pPr>
      <w:r w:rsidRPr="00B42B12">
        <w:rPr>
          <w:rFonts w:hint="eastAsia"/>
        </w:rPr>
        <w:t>如使用自備電源，其電源容量應足以供給工區全部用電之所需，及不得影響電力設備之正常運轉。</w:t>
      </w:r>
    </w:p>
    <w:p w14:paraId="201A24ED" w14:textId="77777777" w:rsidR="009E2F29" w:rsidRPr="00B42B12" w:rsidRDefault="009E2F29">
      <w:pPr>
        <w:pStyle w:val="5"/>
      </w:pPr>
      <w:r w:rsidRPr="00B42B12">
        <w:rPr>
          <w:rFonts w:hint="eastAsia"/>
        </w:rPr>
        <w:t>若使用電力公司電源，乙方應向電力公司辦理申請裝置之一切手續。如契約規定重要之構造物施工需自備電源時，若電力公司停電，乙方不得以停電作為該部分工程展延工期之理由，若因而造成損失概由乙方自行負責。</w:t>
      </w:r>
    </w:p>
    <w:p w14:paraId="26076C78" w14:textId="77777777" w:rsidR="009E2F29" w:rsidRPr="00B42B12" w:rsidRDefault="009E2F29"/>
    <w:p w14:paraId="05D8FF4E" w14:textId="77777777" w:rsidR="009E2F29" w:rsidRPr="00B42B12" w:rsidRDefault="009E2F29">
      <w:pPr>
        <w:pStyle w:val="4"/>
      </w:pPr>
      <w:r w:rsidRPr="00B42B12">
        <w:rPr>
          <w:rFonts w:hint="eastAsia"/>
        </w:rPr>
        <w:t>施工照明</w:t>
      </w:r>
    </w:p>
    <w:p w14:paraId="70C7004A" w14:textId="77777777" w:rsidR="009E2F29" w:rsidRPr="00B42B12" w:rsidRDefault="009E2F29">
      <w:pPr>
        <w:pStyle w:val="5"/>
      </w:pPr>
      <w:r w:rsidRPr="00B42B12">
        <w:rPr>
          <w:rFonts w:hint="eastAsia"/>
        </w:rPr>
        <w:t>辦公房舍、工區、臨時道路之照明應達相關規範規定之照度。</w:t>
      </w:r>
    </w:p>
    <w:p w14:paraId="1D63167D" w14:textId="77777777" w:rsidR="009E2F29" w:rsidRPr="00B42B12" w:rsidRDefault="009E2F29">
      <w:pPr>
        <w:pStyle w:val="5"/>
      </w:pPr>
      <w:r w:rsidRPr="00B42B12">
        <w:rPr>
          <w:rFonts w:hint="eastAsia"/>
        </w:rPr>
        <w:t>工區、臨時道路之照明依實際狀況佈置。</w:t>
      </w:r>
    </w:p>
    <w:p w14:paraId="7D6279C5" w14:textId="77777777" w:rsidR="009E2F29" w:rsidRPr="00B42B12" w:rsidRDefault="009E2F29"/>
    <w:p w14:paraId="45E67BE5" w14:textId="77777777" w:rsidR="009E2F29" w:rsidRPr="00B42B12" w:rsidRDefault="009E2F29">
      <w:pPr>
        <w:pStyle w:val="4"/>
      </w:pPr>
      <w:r w:rsidRPr="00B42B12">
        <w:rPr>
          <w:rFonts w:hint="eastAsia"/>
        </w:rPr>
        <w:t>通訊設備</w:t>
      </w:r>
    </w:p>
    <w:p w14:paraId="362BC773" w14:textId="77777777" w:rsidR="009E2F29" w:rsidRPr="00B42B12" w:rsidRDefault="009E2F29">
      <w:pPr>
        <w:pStyle w:val="a6"/>
      </w:pPr>
      <w:r w:rsidRPr="00B42B12">
        <w:rPr>
          <w:rFonts w:hint="eastAsia"/>
        </w:rPr>
        <w:t>乙方如使用無線電訊設施時，應自行向有關機關申請許可。</w:t>
      </w:r>
    </w:p>
    <w:p w14:paraId="488F56A7" w14:textId="77777777" w:rsidR="009E2F29" w:rsidRPr="00B42B12" w:rsidRDefault="009E2F29"/>
    <w:p w14:paraId="3DFC1045" w14:textId="77777777" w:rsidR="009E2F29" w:rsidRPr="00B42B12" w:rsidRDefault="009E2F29">
      <w:pPr>
        <w:pStyle w:val="4"/>
      </w:pPr>
      <w:r w:rsidRPr="00B42B12">
        <w:rPr>
          <w:rFonts w:hint="eastAsia"/>
        </w:rPr>
        <w:t>消防</w:t>
      </w:r>
    </w:p>
    <w:p w14:paraId="0A090B79" w14:textId="77777777" w:rsidR="009E2F29" w:rsidRPr="00B42B12" w:rsidRDefault="009E2F29">
      <w:pPr>
        <w:pStyle w:val="a6"/>
      </w:pPr>
      <w:r w:rsidRPr="00B42B12">
        <w:rPr>
          <w:rFonts w:hint="eastAsia"/>
        </w:rPr>
        <w:t>消防設施之設置依據消防相關法規辦理，並依相關規定報主管機關檢查。</w:t>
      </w:r>
    </w:p>
    <w:p w14:paraId="1809E3B9" w14:textId="77777777" w:rsidR="009E2F29" w:rsidRPr="00B42B12" w:rsidRDefault="009E2F29">
      <w:pPr>
        <w:pStyle w:val="3"/>
      </w:pPr>
      <w:r w:rsidRPr="00B42B12">
        <w:rPr>
          <w:rFonts w:hint="eastAsia"/>
        </w:rPr>
        <w:t>計量與計價</w:t>
      </w:r>
    </w:p>
    <w:p w14:paraId="4E71DD9D" w14:textId="77777777" w:rsidR="009E2F29" w:rsidRPr="00B42B12" w:rsidRDefault="009E2F29">
      <w:pPr>
        <w:pStyle w:val="4"/>
      </w:pPr>
      <w:r w:rsidRPr="00B42B12">
        <w:rPr>
          <w:rFonts w:hint="eastAsia"/>
        </w:rPr>
        <w:t>計量</w:t>
      </w:r>
    </w:p>
    <w:p w14:paraId="014FACBA" w14:textId="77777777" w:rsidR="009E2F29" w:rsidRPr="00B42B12" w:rsidRDefault="009E2F29">
      <w:pPr>
        <w:pStyle w:val="a6"/>
      </w:pPr>
      <w:r w:rsidRPr="00B42B12">
        <w:rPr>
          <w:rFonts w:hint="eastAsia"/>
        </w:rPr>
        <w:t>除另有規定外，本章工作分項列入詳細價目表者，以【一式】計量，若詳細價目表未列項目者，則各項工作應視為已包括於契約總價內。</w:t>
      </w:r>
    </w:p>
    <w:p w14:paraId="68A20321" w14:textId="77777777" w:rsidR="009E2F29" w:rsidRPr="00B42B12" w:rsidRDefault="009E2F29"/>
    <w:p w14:paraId="2A5F0599" w14:textId="77777777" w:rsidR="009E2F29" w:rsidRPr="00B42B12" w:rsidRDefault="009E2F29">
      <w:pPr>
        <w:pStyle w:val="4"/>
      </w:pPr>
      <w:r w:rsidRPr="00B42B12">
        <w:rPr>
          <w:rFonts w:hint="eastAsia"/>
        </w:rPr>
        <w:t>計價</w:t>
      </w:r>
    </w:p>
    <w:p w14:paraId="1A668026" w14:textId="77777777" w:rsidR="009E2F29" w:rsidRPr="00B42B12" w:rsidRDefault="009E2F29">
      <w:pPr>
        <w:pStyle w:val="a6"/>
      </w:pPr>
      <w:r w:rsidRPr="00B42B12">
        <w:rPr>
          <w:rFonts w:hint="eastAsia"/>
        </w:rPr>
        <w:t>除另有規定外，本章工作分項列入詳細價目表者，以【一式】計價，若詳細價目表未列項目者，則各項工作應視為已包括於契約總價內。</w:t>
      </w:r>
    </w:p>
    <w:p w14:paraId="694EE2CE" w14:textId="77777777" w:rsidR="009E2F29" w:rsidRPr="00B42B12" w:rsidRDefault="009E2F29">
      <w:pPr>
        <w:pStyle w:val="ae"/>
      </w:pPr>
      <w:r w:rsidRPr="00B42B12">
        <w:rPr>
          <w:rFonts w:hint="eastAsia"/>
        </w:rPr>
        <w:t>〈本章結束〉</w:t>
      </w:r>
    </w:p>
    <w:sectPr w:rsidR="009E2F29" w:rsidRPr="00B42B12">
      <w:footerReference w:type="even" r:id="rId7"/>
      <w:footerReference w:type="default" r:id="rId8"/>
      <w:pgSz w:w="11906" w:h="16838" w:code="9"/>
      <w:pgMar w:top="1418" w:right="1418" w:bottom="1418" w:left="1418" w:header="851" w:footer="851" w:gutter="0"/>
      <w:pgNumType w:start="1" w:chapStyle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E8953" w14:textId="77777777" w:rsidR="008E76FF" w:rsidRDefault="008E76FF">
      <w:r>
        <w:separator/>
      </w:r>
    </w:p>
  </w:endnote>
  <w:endnote w:type="continuationSeparator" w:id="0">
    <w:p w14:paraId="0A41BABD" w14:textId="77777777" w:rsidR="008E76FF" w:rsidRDefault="008E7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B5BE2" w14:textId="77777777" w:rsidR="009E2F29" w:rsidRDefault="009E2F29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F90B9FB" w14:textId="77777777" w:rsidR="009E2F29" w:rsidRDefault="009E2F2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A1E04" w14:textId="3D1E2D15" w:rsidR="009E2F29" w:rsidRDefault="009E2F29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06B12">
      <w:rPr>
        <w:rStyle w:val="ab"/>
        <w:noProof/>
      </w:rPr>
      <w:t>01510-2</w:t>
    </w:r>
    <w:r>
      <w:rPr>
        <w:rStyle w:val="ab"/>
      </w:rPr>
      <w:fldChar w:fldCharType="end"/>
    </w:r>
  </w:p>
  <w:p w14:paraId="497E333A" w14:textId="74A73CAD" w:rsidR="009E2F29" w:rsidRDefault="009E2F29" w:rsidP="00B00C0E">
    <w:pPr>
      <w:pStyle w:val="a9"/>
      <w:tabs>
        <w:tab w:val="clear" w:pos="8052"/>
        <w:tab w:val="right" w:pos="8789"/>
      </w:tabs>
      <w:rPr>
        <w:sz w:val="24"/>
      </w:rPr>
    </w:pPr>
    <w:r>
      <w:rPr>
        <w:rFonts w:hint="eastAsia"/>
      </w:rPr>
      <w:tab/>
    </w:r>
    <w:r>
      <w:rPr>
        <w:rFonts w:hint="eastAsia"/>
      </w:rPr>
      <w:tab/>
      <w:t>v2.01</w:t>
    </w:r>
    <w:r w:rsidR="00A06B32">
      <w:t>-</w:t>
    </w:r>
    <w:proofErr w:type="gramStart"/>
    <w:r w:rsidR="00A06B32">
      <w:t>WRB,KCG</w:t>
    </w:r>
    <w:proofErr w:type="gramEnd"/>
    <w:r w:rsidR="00A06B32">
      <w:t>_1</w:t>
    </w:r>
    <w:r w:rsidR="002D0132">
      <w:rPr>
        <w:rFonts w:hint="eastAsia"/>
      </w:rPr>
      <w:t>1</w:t>
    </w:r>
    <w:r w:rsidR="00800208">
      <w:rPr>
        <w:rFonts w:hint="eastAsia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D5C5E" w14:textId="77777777" w:rsidR="008E76FF" w:rsidRDefault="008E76FF">
      <w:r>
        <w:separator/>
      </w:r>
    </w:p>
  </w:footnote>
  <w:footnote w:type="continuationSeparator" w:id="0">
    <w:p w14:paraId="19FB57B5" w14:textId="77777777" w:rsidR="008E76FF" w:rsidRDefault="008E76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A6443"/>
    <w:multiLevelType w:val="singleLevel"/>
    <w:tmpl w:val="B50C20EA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" w15:restartNumberingAfterBreak="0">
    <w:nsid w:val="0FBA780F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2" w15:restartNumberingAfterBreak="0">
    <w:nsid w:val="3C9F62D7"/>
    <w:multiLevelType w:val="singleLevel"/>
    <w:tmpl w:val="17C64CDA"/>
    <w:lvl w:ilvl="0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標楷體" w:hAnsi="Wingdings" w:hint="default"/>
      </w:rPr>
    </w:lvl>
  </w:abstractNum>
  <w:abstractNum w:abstractNumId="3" w15:restartNumberingAfterBreak="0">
    <w:nsid w:val="4FC74E90"/>
    <w:multiLevelType w:val="singleLevel"/>
    <w:tmpl w:val="6E226AF4"/>
    <w:lvl w:ilvl="0">
      <w:start w:val="1"/>
      <w:numFmt w:val="bullet"/>
      <w:lvlText w:val="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4" w15:restartNumberingAfterBreak="0">
    <w:nsid w:val="771A75E2"/>
    <w:multiLevelType w:val="multilevel"/>
    <w:tmpl w:val="CC1830F8"/>
    <w:lvl w:ilvl="0">
      <w:start w:val="1"/>
      <w:numFmt w:val="decimalZero"/>
      <w:pStyle w:val="1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510"/>
      <w:numFmt w:val="decimalZero"/>
      <w:pStyle w:val="2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 w16cid:durableId="1765757843">
    <w:abstractNumId w:val="1"/>
  </w:num>
  <w:num w:numId="2" w16cid:durableId="1891577177">
    <w:abstractNumId w:val="2"/>
  </w:num>
  <w:num w:numId="3" w16cid:durableId="1976980634">
    <w:abstractNumId w:val="0"/>
  </w:num>
  <w:num w:numId="4" w16cid:durableId="2005627412">
    <w:abstractNumId w:val="3"/>
  </w:num>
  <w:num w:numId="5" w16cid:durableId="1511144387">
    <w:abstractNumId w:val="4"/>
  </w:num>
  <w:num w:numId="6" w16cid:durableId="900560868">
    <w:abstractNumId w:val="4"/>
  </w:num>
  <w:num w:numId="7" w16cid:durableId="1258368957">
    <w:abstractNumId w:val="4"/>
  </w:num>
  <w:num w:numId="8" w16cid:durableId="671220228">
    <w:abstractNumId w:val="4"/>
  </w:num>
  <w:num w:numId="9" w16cid:durableId="1760255657">
    <w:abstractNumId w:val="4"/>
  </w:num>
  <w:num w:numId="10" w16cid:durableId="719860594">
    <w:abstractNumId w:val="4"/>
  </w:num>
  <w:num w:numId="11" w16cid:durableId="1576084616">
    <w:abstractNumId w:val="4"/>
  </w:num>
  <w:num w:numId="12" w16cid:durableId="1271814290">
    <w:abstractNumId w:val="4"/>
  </w:num>
  <w:num w:numId="13" w16cid:durableId="221141150">
    <w:abstractNumId w:val="4"/>
  </w:num>
  <w:num w:numId="14" w16cid:durableId="967049594">
    <w:abstractNumId w:val="4"/>
  </w:num>
  <w:num w:numId="15" w16cid:durableId="2068528250">
    <w:abstractNumId w:val="4"/>
  </w:num>
  <w:num w:numId="16" w16cid:durableId="16348460">
    <w:abstractNumId w:val="4"/>
  </w:num>
  <w:num w:numId="17" w16cid:durableId="264265425">
    <w:abstractNumId w:val="4"/>
  </w:num>
  <w:num w:numId="18" w16cid:durableId="120270006">
    <w:abstractNumId w:val="4"/>
  </w:num>
  <w:num w:numId="19" w16cid:durableId="1013652948">
    <w:abstractNumId w:val="4"/>
  </w:num>
  <w:num w:numId="20" w16cid:durableId="616522851">
    <w:abstractNumId w:val="4"/>
  </w:num>
  <w:num w:numId="21" w16cid:durableId="248467075">
    <w:abstractNumId w:val="4"/>
  </w:num>
  <w:num w:numId="22" w16cid:durableId="1158964431">
    <w:abstractNumId w:val="4"/>
  </w:num>
  <w:num w:numId="23" w16cid:durableId="1767339364">
    <w:abstractNumId w:val="4"/>
  </w:num>
  <w:num w:numId="24" w16cid:durableId="1145581125">
    <w:abstractNumId w:val="4"/>
  </w:num>
  <w:num w:numId="25" w16cid:durableId="147288134">
    <w:abstractNumId w:val="4"/>
  </w:num>
  <w:num w:numId="26" w16cid:durableId="911768742">
    <w:abstractNumId w:val="4"/>
  </w:num>
  <w:num w:numId="27" w16cid:durableId="1072392906">
    <w:abstractNumId w:val="4"/>
  </w:num>
  <w:num w:numId="28" w16cid:durableId="179663110">
    <w:abstractNumId w:val="4"/>
  </w:num>
  <w:num w:numId="29" w16cid:durableId="1246300607">
    <w:abstractNumId w:val="4"/>
  </w:num>
  <w:num w:numId="30" w16cid:durableId="2015915002">
    <w:abstractNumId w:val="4"/>
  </w:num>
  <w:num w:numId="31" w16cid:durableId="1381703936">
    <w:abstractNumId w:val="4"/>
  </w:num>
  <w:num w:numId="32" w16cid:durableId="511188158">
    <w:abstractNumId w:val="4"/>
  </w:num>
  <w:num w:numId="33" w16cid:durableId="240987975">
    <w:abstractNumId w:val="4"/>
  </w:num>
  <w:num w:numId="34" w16cid:durableId="1223059523">
    <w:abstractNumId w:val="4"/>
  </w:num>
  <w:num w:numId="35" w16cid:durableId="749833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283"/>
  <w:drawingGridHorizontalSpacing w:val="13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C0E"/>
    <w:rsid w:val="0002004D"/>
    <w:rsid w:val="00047DBC"/>
    <w:rsid w:val="00073902"/>
    <w:rsid w:val="000D6AB7"/>
    <w:rsid w:val="002D0132"/>
    <w:rsid w:val="00394BB6"/>
    <w:rsid w:val="00535478"/>
    <w:rsid w:val="0058451D"/>
    <w:rsid w:val="00606BEF"/>
    <w:rsid w:val="00713101"/>
    <w:rsid w:val="007E2E45"/>
    <w:rsid w:val="00800208"/>
    <w:rsid w:val="008E76FF"/>
    <w:rsid w:val="00906B12"/>
    <w:rsid w:val="009E2F29"/>
    <w:rsid w:val="00A06B32"/>
    <w:rsid w:val="00A12A6B"/>
    <w:rsid w:val="00A966E6"/>
    <w:rsid w:val="00B00C0E"/>
    <w:rsid w:val="00B02642"/>
    <w:rsid w:val="00B42B12"/>
    <w:rsid w:val="00D65357"/>
    <w:rsid w:val="00F07495"/>
    <w:rsid w:val="00F51C52"/>
    <w:rsid w:val="00F7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D027B"/>
  <w15:chartTrackingRefBased/>
  <w15:docId w15:val="{91B4BF9A-0FCD-4750-B445-01AE355FD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pPr>
      <w:numPr>
        <w:numId w:val="25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26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27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28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  <w:numId w:val="29"/>
      </w:numPr>
      <w:outlineLvl w:val="4"/>
    </w:pPr>
    <w:rPr>
      <w:bCs/>
    </w:rPr>
  </w:style>
  <w:style w:type="paragraph" w:styleId="6">
    <w:name w:val="heading 6"/>
    <w:basedOn w:val="4"/>
    <w:next w:val="a"/>
    <w:qFormat/>
    <w:pPr>
      <w:numPr>
        <w:ilvl w:val="5"/>
        <w:numId w:val="30"/>
      </w:numPr>
      <w:outlineLvl w:val="5"/>
    </w:pPr>
  </w:style>
  <w:style w:type="paragraph" w:styleId="7">
    <w:name w:val="heading 7"/>
    <w:aliases w:val="CNS"/>
    <w:basedOn w:val="a"/>
    <w:next w:val="a"/>
    <w:qFormat/>
    <w:pPr>
      <w:numPr>
        <w:ilvl w:val="6"/>
        <w:numId w:val="35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pPr>
      <w:numPr>
        <w:ilvl w:val="7"/>
        <w:numId w:val="32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33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(1)文"/>
    <w:basedOn w:val="a"/>
    <w:pPr>
      <w:ind w:left="1531"/>
    </w:pPr>
  </w:style>
  <w:style w:type="paragraph" w:customStyle="1" w:styleId="A3">
    <w:name w:val="A.文"/>
    <w:basedOn w:val="a"/>
    <w:pPr>
      <w:ind w:left="2058"/>
    </w:pPr>
  </w:style>
  <w:style w:type="paragraph" w:customStyle="1" w:styleId="a4">
    <w:name w:val="a.文"/>
    <w:basedOn w:val="a"/>
    <w:pPr>
      <w:ind w:left="2580"/>
    </w:pPr>
  </w:style>
  <w:style w:type="character" w:styleId="a5">
    <w:name w:val="FollowedHyperlink"/>
    <w:semiHidden/>
    <w:rPr>
      <w:color w:val="800080"/>
      <w:u w:val="single"/>
    </w:rPr>
  </w:style>
  <w:style w:type="paragraph" w:styleId="a6">
    <w:name w:val="Body Text"/>
    <w:basedOn w:val="a"/>
    <w:semiHidden/>
    <w:pPr>
      <w:ind w:left="964"/>
    </w:pPr>
  </w:style>
  <w:style w:type="paragraph" w:customStyle="1" w:styleId="a7">
    <w:name w:val="表文"/>
    <w:basedOn w:val="a"/>
    <w:pPr>
      <w:ind w:left="57" w:right="57"/>
    </w:pPr>
  </w:style>
  <w:style w:type="paragraph" w:customStyle="1" w:styleId="a8">
    <w:name w:val="表文中"/>
    <w:basedOn w:val="a7"/>
    <w:pPr>
      <w:jc w:val="center"/>
    </w:pPr>
  </w:style>
  <w:style w:type="paragraph" w:styleId="a9">
    <w:name w:val="footer"/>
    <w:basedOn w:val="a"/>
    <w:semiHidden/>
    <w:pPr>
      <w:tabs>
        <w:tab w:val="left" w:pos="4254"/>
        <w:tab w:val="left" w:pos="8052"/>
      </w:tabs>
      <w:snapToGrid w:val="0"/>
    </w:pPr>
    <w:rPr>
      <w:sz w:val="16"/>
    </w:rPr>
  </w:style>
  <w:style w:type="paragraph" w:styleId="aa">
    <w:name w:val="header"/>
    <w:basedOn w:val="a"/>
    <w:semiHidden/>
    <w:pPr>
      <w:tabs>
        <w:tab w:val="center" w:pos="3900"/>
        <w:tab w:val="center" w:pos="7800"/>
      </w:tabs>
      <w:snapToGrid w:val="0"/>
    </w:pPr>
    <w:rPr>
      <w:sz w:val="20"/>
    </w:rPr>
  </w:style>
  <w:style w:type="character" w:styleId="ab">
    <w:name w:val="page number"/>
    <w:semiHidden/>
    <w:rPr>
      <w:rFonts w:ascii="Arial" w:eastAsia="標楷體" w:hAnsi="Arial"/>
      <w:sz w:val="20"/>
    </w:rPr>
  </w:style>
  <w:style w:type="paragraph" w:customStyle="1" w:styleId="ac">
    <w:name w:val="章"/>
    <w:basedOn w:val="a"/>
    <w:pPr>
      <w:jc w:val="center"/>
    </w:pPr>
    <w:rPr>
      <w:rFonts w:eastAsia="新細明體"/>
      <w:sz w:val="28"/>
    </w:rPr>
  </w:style>
  <w:style w:type="paragraph" w:customStyle="1" w:styleId="ad">
    <w:name w:val="單行間距"/>
    <w:basedOn w:val="a"/>
    <w:pPr>
      <w:jc w:val="center"/>
    </w:pPr>
  </w:style>
  <w:style w:type="paragraph" w:customStyle="1" w:styleId="ae">
    <w:name w:val="結束"/>
    <w:basedOn w:val="a8"/>
    <w:pPr>
      <w:spacing w:before="500"/>
    </w:pPr>
  </w:style>
  <w:style w:type="paragraph" w:styleId="af">
    <w:name w:val="caption"/>
    <w:basedOn w:val="a"/>
    <w:next w:val="a"/>
    <w:qFormat/>
    <w:pPr>
      <w:spacing w:line="400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494</Words>
  <Characters>534</Characters>
  <Application>Microsoft Office Word</Application>
  <DocSecurity>0</DocSecurity>
  <Lines>24</Lines>
  <Paragraphs>26</Paragraphs>
  <ScaleCrop>false</ScaleCrop>
  <Company>MAA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第02391章 臨時設施</dc:title>
  <dc:subject/>
  <dc:creator>Sewer</dc:creator>
  <cp:keywords/>
  <cp:lastModifiedBy>Luc Wu</cp:lastModifiedBy>
  <cp:revision>15</cp:revision>
  <cp:lastPrinted>2001-08-07T02:42:00Z</cp:lastPrinted>
  <dcterms:created xsi:type="dcterms:W3CDTF">2016-03-25T01:58:00Z</dcterms:created>
  <dcterms:modified xsi:type="dcterms:W3CDTF">2025-04-22T06:17:00Z</dcterms:modified>
</cp:coreProperties>
</file>